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A137" w14:textId="77777777" w:rsidR="005B1FA3" w:rsidRDefault="008F6D9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6859B915" w14:textId="77777777" w:rsidR="005B1FA3" w:rsidRDefault="005B1FA3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8"/>
        <w:gridCol w:w="4938"/>
      </w:tblGrid>
      <w:tr w:rsidR="005B1FA3" w14:paraId="1AFACAF1" w14:textId="77777777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551E4F71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06DA82B6" w14:textId="77777777" w:rsidR="005B1FA3" w:rsidRDefault="008F6D91">
            <w:pPr>
              <w:widowControl w:val="0"/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07D53FBC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5B1FA3" w14:paraId="29A6AF92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2484982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A38BE6B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EDDF91" w14:textId="77777777" w:rsidR="005B1FA3" w:rsidRDefault="008F6D91">
            <w:pPr>
              <w:widowControl w:val="0"/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Teoria Modeli / Model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Theory</w:t>
            </w:r>
            <w:proofErr w:type="spellEnd"/>
          </w:p>
        </w:tc>
      </w:tr>
      <w:tr w:rsidR="005B1FA3" w14:paraId="685CC2D4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AAA2B1C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D44BE6A" w14:textId="77777777" w:rsidR="005B1FA3" w:rsidRDefault="008F6D91">
            <w:pPr>
              <w:widowControl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0149E26C" w14:textId="77777777" w:rsidR="005B1FA3" w:rsidRDefault="005B1FA3">
            <w:pPr>
              <w:widowControl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7FEABB" w14:textId="77777777" w:rsidR="005B1FA3" w:rsidRDefault="008F6D91">
            <w:pPr>
              <w:widowControl w:val="0"/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5B1FA3" w14:paraId="59D7BC31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9AB1B84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44B66AD" w14:textId="77777777" w:rsidR="005B1FA3" w:rsidRDefault="008F6D91">
            <w:pPr>
              <w:widowControl w:val="0"/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AEDEE1" w14:textId="77777777" w:rsidR="005B1FA3" w:rsidRDefault="005B1FA3">
            <w:pPr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1EA92406" w14:textId="77777777" w:rsidR="005B1FA3" w:rsidRDefault="003B2EAE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Wydział </w:t>
            </w:r>
            <w:r w:rsidR="008F6D91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atematyki i Informatyki</w:t>
            </w:r>
          </w:p>
        </w:tc>
      </w:tr>
      <w:tr w:rsidR="005B1FA3" w14:paraId="7B3DCD62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45B7E9D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5152C93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185BA739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AE271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Instytut Matematyczny</w:t>
            </w:r>
          </w:p>
        </w:tc>
      </w:tr>
      <w:tr w:rsidR="005B1FA3" w14:paraId="52993DD4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CFD1B9F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5194F58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05BFBC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>28-MT-S-TTModel</w:t>
            </w:r>
          </w:p>
        </w:tc>
      </w:tr>
      <w:tr w:rsidR="005B1FA3" w14:paraId="4F99F5FE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BE5C023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808DB8E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DB8C16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5B1FA3" w14:paraId="19A7944B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07EEE7C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08FE364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132CBA" w14:textId="77777777" w:rsidR="005B1FA3" w:rsidRDefault="005B1FA3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B1FA3" w14:paraId="0E6C5663" w14:textId="77777777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CF0D37B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DEDE9CA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2ED348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letni</w:t>
            </w:r>
          </w:p>
        </w:tc>
      </w:tr>
      <w:tr w:rsidR="005B1FA3" w14:paraId="2FCCE1D7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D3AD6A6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5499179" w14:textId="77777777" w:rsidR="005B1FA3" w:rsidRDefault="008F6D91">
            <w:pPr>
              <w:widowControl w:val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5E8979" w14:textId="77777777" w:rsidR="005B1FA3" w:rsidRDefault="008F6D91">
            <w:pPr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Wykład z ćwiczeniami, prezentacja i dyskusja, stacjonarny.</w:t>
            </w:r>
          </w:p>
        </w:tc>
      </w:tr>
      <w:tr w:rsidR="005B1FA3" w14:paraId="12A2CAFA" w14:textId="77777777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200CABF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36EF2D4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668901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1. Typy, test </w:t>
            </w:r>
            <w:proofErr w:type="spellStart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Tarskiego-Vaughta</w:t>
            </w:r>
            <w:proofErr w:type="spellEnd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, omijanie typów.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2. Hierarchia stabilności.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3. Modele ze specjalnymi własnościami (pierwsze, atomowe, nasycone, jednorodne, uniwersalne).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4. Liczba modeli przeliczalnych.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5. Ranga </w:t>
            </w:r>
            <w:proofErr w:type="spellStart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Morley'a</w:t>
            </w:r>
            <w:proofErr w:type="spellEnd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 i jej warianty.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6. Zbiory (porządkowo) nieodróżnialne.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7. Pary </w:t>
            </w:r>
            <w:proofErr w:type="spellStart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Vaughta</w:t>
            </w:r>
            <w:proofErr w:type="spellEnd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8. Kategoryczność teorii (w tym twierdzenia </w:t>
            </w:r>
            <w:proofErr w:type="spellStart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Rylla-Nardzewskiego</w:t>
            </w:r>
            <w:proofErr w:type="spellEnd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 i Morleya).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9. Silna minimalność, algebraiczne domknięcie jako </w:t>
            </w:r>
            <w:proofErr w:type="spellStart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pregeometria</w:t>
            </w:r>
            <w:proofErr w:type="spellEnd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10. Własność porządkowa i własność niezależności.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11. Rangi lokalne i definiowalność typów w teoriach stabilnych.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12. Struktury </w:t>
            </w:r>
            <w:proofErr w:type="spellStart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wielosortowe</w:t>
            </w:r>
            <w:proofErr w:type="spellEnd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 i elementy urojone.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13. Dzielenie i </w:t>
            </w:r>
            <w:proofErr w:type="spellStart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forking</w:t>
            </w:r>
            <w:proofErr w:type="spellEnd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 (rozwidlanie) typów.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Wszystkie pojęcia z teorii modeli </w:t>
            </w:r>
            <w:proofErr w:type="spellStart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>sa</w:t>
            </w:r>
            <w:proofErr w:type="spellEnd"/>
            <w:r>
              <w:rPr>
                <w:rFonts w:ascii="Tahoma;Helvetica;Segoe UI;Segoe" w:eastAsia="Verdana" w:hAnsi="Tahoma;Helvetica;Segoe UI;Segoe" w:cs="Verdana"/>
                <w:color w:val="000000"/>
                <w:sz w:val="21"/>
                <w:szCs w:val="20"/>
              </w:rPr>
              <w:t xml:space="preserve"> ilustrowane przykładami z klasycznej matematyki, przede wszystkim z algebry.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B1FA3" w14:paraId="737001A3" w14:textId="77777777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A51839C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432A048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3BD53A" w14:textId="77777777" w:rsidR="005B1FA3" w:rsidRDefault="008F6D91">
            <w:pPr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polski</w:t>
            </w:r>
          </w:p>
        </w:tc>
      </w:tr>
      <w:tr w:rsidR="005B1FA3" w14:paraId="34C46381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AFBB5D0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57AC01C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2128B9F5" w14:textId="77777777" w:rsidR="005B1FA3" w:rsidRDefault="005B1FA3">
            <w:pPr>
              <w:widowControl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32729FEE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 Zna podstawowe pojęcia teorii modeli, w tym twierdzenia o kategoryczności oraz elementy teorii stabilności.</w:t>
            </w:r>
          </w:p>
          <w:p w14:paraId="726E4294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0AFD0ECC" w14:textId="77777777" w:rsidR="005B1FA3" w:rsidRDefault="005B1FA3">
            <w:pPr>
              <w:widowControl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92D524C" w14:textId="77777777" w:rsidR="005B1FA3" w:rsidRDefault="005B1FA3">
            <w:pPr>
              <w:widowControl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4ABAEB33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Umiejętności: Rozpoznaje cechy teorii matematycznych oraz własności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teoriomodelowe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struktur matematycznych. Umie analizować teorio-modelowo struktury </w:t>
            </w: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lastRenderedPageBreak/>
              <w:t>algebraiczne.</w:t>
            </w:r>
          </w:p>
          <w:p w14:paraId="7FDDE934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7F485C62" w14:textId="77777777" w:rsidR="005B1FA3" w:rsidRDefault="005B1FA3">
            <w:pPr>
              <w:widowControl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160D1C68" w14:textId="77777777" w:rsidR="005B1FA3" w:rsidRDefault="005B1FA3">
            <w:pPr>
              <w:widowControl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10077E8D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 Umie  pracować w grupie. Jest świadom roli teorii modeli w matematyce oraz jej związków z innymi działami matematyki.</w:t>
            </w:r>
          </w:p>
          <w:p w14:paraId="0A8EA69E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1D9AA224" w14:textId="77777777" w:rsidR="005B1FA3" w:rsidRDefault="005B1FA3">
            <w:pPr>
              <w:widowControl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504AEF08" w14:textId="77777777" w:rsidR="005B1FA3" w:rsidRDefault="005B1FA3">
            <w:pPr>
              <w:widowControl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A21505" w14:textId="77777777" w:rsidR="005B1FA3" w:rsidRDefault="005B1FA3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75903C36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1F32BED6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133FEE68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14:paraId="090F992B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131E4715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2039717C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1EA38821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5476B600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17AF0FA0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367CA68C" w14:textId="67FB1565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SD_U03, SD_U06, SD_U07</w:t>
            </w:r>
          </w:p>
          <w:p w14:paraId="20708B94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9A80ABC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0CFAD830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7111BEA4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2BEEB564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57BCA3ED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F737C4E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1167E0E" w14:textId="77777777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5C0E956" w14:textId="2A32824F" w:rsidR="00BD2DF6" w:rsidRDefault="00BD2DF6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5B1FA3" w14:paraId="7B2ED0DA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D2A2ED7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653EC4A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9C81DD" w14:textId="77777777" w:rsidR="005B1FA3" w:rsidRDefault="008F6D91">
            <w:pPr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Egzamin pisemny.</w:t>
            </w:r>
          </w:p>
        </w:tc>
      </w:tr>
      <w:tr w:rsidR="005B1FA3" w14:paraId="31C6A3AF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E0F25AB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624EF4F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FD698A" w14:textId="77777777" w:rsidR="005B1FA3" w:rsidRDefault="005B1FA3">
            <w:pPr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5B1FA3" w14:paraId="70D7633A" w14:textId="77777777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000000"/>
            </w:tcBorders>
            <w:vAlign w:val="center"/>
          </w:tcPr>
          <w:p w14:paraId="2C822E2B" w14:textId="77777777" w:rsidR="005B1FA3" w:rsidRDefault="005B1FA3">
            <w:pPr>
              <w:widowControl w:val="0"/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931E6F0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754B52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5B1FA3" w14:paraId="6D81D2F0" w14:textId="77777777"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</w:tcBorders>
            <w:vAlign w:val="center"/>
          </w:tcPr>
          <w:p w14:paraId="12068B21" w14:textId="77777777" w:rsidR="005B1FA3" w:rsidRDefault="005B1FA3">
            <w:pPr>
              <w:widowControl w:val="0"/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0142990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408B321C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3B2EAE">
              <w:rPr>
                <w:rFonts w:ascii="Verdana" w:eastAsia="Calibri" w:hAnsi="Verdana" w:cs="Verdana"/>
                <w:sz w:val="20"/>
                <w:szCs w:val="20"/>
              </w:rPr>
              <w:t xml:space="preserve"> 30</w:t>
            </w:r>
          </w:p>
          <w:p w14:paraId="370E29E0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2EAE">
              <w:rPr>
                <w:rFonts w:ascii="Verdana" w:hAnsi="Verdana"/>
                <w:sz w:val="20"/>
                <w:szCs w:val="20"/>
              </w:rPr>
              <w:t>30</w:t>
            </w:r>
          </w:p>
          <w:p w14:paraId="356937B7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208B29F2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15D4E0D0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C1525F" w14:textId="77777777" w:rsidR="005B1FA3" w:rsidRDefault="005B1FA3">
            <w:pPr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5B1FA3" w14:paraId="49C36773" w14:textId="77777777"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</w:tcBorders>
            <w:vAlign w:val="center"/>
          </w:tcPr>
          <w:p w14:paraId="28862585" w14:textId="77777777" w:rsidR="005B1FA3" w:rsidRDefault="005B1FA3">
            <w:pPr>
              <w:widowControl w:val="0"/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D5A1B2F" w14:textId="77777777" w:rsidR="005B1FA3" w:rsidRDefault="008F6D91">
            <w:pPr>
              <w:widowControl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44D1B8EF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3CB08104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5A524846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21AB8CC2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4D43B476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396EDF5F" w14:textId="77777777" w:rsidR="005B1FA3" w:rsidRDefault="008F6D91">
            <w:pPr>
              <w:widowControl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7C0471" w14:textId="77777777" w:rsidR="005B1FA3" w:rsidRDefault="008F6D91">
            <w:pPr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Rozwiązywanie zadań z list, ilustrujących tok wykładu. Bieżące opanowywanie materiału z wykładu. Przygotowanie do egzaminu.</w:t>
            </w:r>
          </w:p>
        </w:tc>
      </w:tr>
      <w:tr w:rsidR="005B1FA3" w14:paraId="0CE2EAB6" w14:textId="77777777"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</w:tcBorders>
            <w:vAlign w:val="center"/>
          </w:tcPr>
          <w:p w14:paraId="68647F1E" w14:textId="77777777" w:rsidR="005B1FA3" w:rsidRDefault="005B1FA3">
            <w:pPr>
              <w:widowControl w:val="0"/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26D81A7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13E91D" w14:textId="77777777" w:rsidR="005B1FA3" w:rsidRDefault="003B2EAE">
            <w:pPr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60</w:t>
            </w:r>
          </w:p>
        </w:tc>
      </w:tr>
      <w:tr w:rsidR="005B1FA3" w14:paraId="3793217A" w14:textId="77777777"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</w:tcBorders>
            <w:vAlign w:val="center"/>
          </w:tcPr>
          <w:p w14:paraId="7852EE41" w14:textId="77777777" w:rsidR="005B1FA3" w:rsidRDefault="005B1FA3">
            <w:pPr>
              <w:widowControl w:val="0"/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08B1EEA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2DAEAF" w14:textId="77777777" w:rsidR="005B1FA3" w:rsidRDefault="005B1FA3">
            <w:pPr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5B1FA3" w14:paraId="0DC656E1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2781E1D" w14:textId="77777777" w:rsidR="005B1FA3" w:rsidRDefault="008F6D91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527FB60" w14:textId="77777777" w:rsidR="005B1FA3" w:rsidRDefault="008F6D91">
            <w:pPr>
              <w:widowControl w:val="0"/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E37E99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 pracy doktoranta opiera się na</w:t>
            </w:r>
          </w:p>
          <w:p w14:paraId="477C7CA3" w14:textId="77777777" w:rsidR="005B1FA3" w:rsidRDefault="008F6D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wyniku egzaminu kończącego przedmiot.</w:t>
            </w:r>
          </w:p>
        </w:tc>
      </w:tr>
      <w:tr w:rsidR="005B1FA3" w14:paraId="3573A6F2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CFFAB2A" w14:textId="77777777" w:rsidR="005B1FA3" w:rsidRDefault="008F6D91">
            <w:pPr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756314A" w14:textId="77777777" w:rsidR="005B1FA3" w:rsidRDefault="008F6D91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ADC537" w14:textId="77777777" w:rsidR="005B1FA3" w:rsidRDefault="008F6D91">
            <w:pPr>
              <w:widowControl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3B2EAE"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  <w:lang w:val="en-GB"/>
              </w:rPr>
              <w:t xml:space="preserve">[1] CC. Chang, </w:t>
            </w:r>
            <w:proofErr w:type="spellStart"/>
            <w:r w:rsidRPr="003B2EAE"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  <w:lang w:val="en-GB"/>
              </w:rPr>
              <w:t>Keisler</w:t>
            </w:r>
            <w:proofErr w:type="spellEnd"/>
            <w:r w:rsidRPr="003B2EAE"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  <w:lang w:val="en-GB"/>
              </w:rPr>
              <w:t>, Model Theory, 1973</w:t>
            </w:r>
            <w:r w:rsidRPr="003B2EAE">
              <w:rPr>
                <w:rFonts w:ascii="Verdana" w:eastAsia="Calibri" w:hAnsi="Verdana" w:cs="Verdana"/>
                <w:sz w:val="20"/>
                <w:szCs w:val="20"/>
                <w:lang w:val="en-GB"/>
              </w:rPr>
              <w:br/>
            </w:r>
            <w:r w:rsidRPr="003B2EAE"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  <w:lang w:val="en-GB"/>
              </w:rPr>
              <w:t>[2] S. Buechler, Essential stability theory, 1992</w:t>
            </w:r>
            <w:r w:rsidRPr="003B2EAE">
              <w:rPr>
                <w:rFonts w:ascii="Verdana" w:eastAsia="Calibri" w:hAnsi="Verdana" w:cs="Verdana"/>
                <w:sz w:val="20"/>
                <w:szCs w:val="20"/>
                <w:lang w:val="en-GB"/>
              </w:rPr>
              <w:br/>
            </w:r>
            <w:r w:rsidRPr="003B2EAE"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  <w:lang w:val="en-GB"/>
              </w:rPr>
              <w:t>[3] G. Sacks, Saturated model theory, 1972</w:t>
            </w:r>
            <w:r w:rsidRPr="003B2EAE">
              <w:rPr>
                <w:rFonts w:ascii="Verdana" w:eastAsia="Calibri" w:hAnsi="Verdana" w:cs="Verdana"/>
                <w:sz w:val="20"/>
                <w:szCs w:val="20"/>
                <w:lang w:val="en-GB"/>
              </w:rPr>
              <w:br/>
            </w:r>
            <w:r w:rsidRPr="003B2EAE"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  <w:lang w:val="en-GB"/>
              </w:rPr>
              <w:t>[4] D. Lascar, Stability in Model Theory, 1987</w:t>
            </w:r>
            <w:r w:rsidRPr="003B2EAE">
              <w:rPr>
                <w:rFonts w:ascii="Verdana" w:eastAsia="Calibri" w:hAnsi="Verdana" w:cs="Verdana"/>
                <w:sz w:val="20"/>
                <w:szCs w:val="20"/>
                <w:lang w:val="en-GB"/>
              </w:rPr>
              <w:br/>
            </w:r>
            <w:r w:rsidRPr="003B2EAE"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  <w:lang w:val="en-GB"/>
              </w:rPr>
              <w:t xml:space="preserve">[5] D. Marker, Model Theory. </w:t>
            </w:r>
            <w:proofErr w:type="spellStart"/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>An</w:t>
            </w:r>
            <w:proofErr w:type="spellEnd"/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 xml:space="preserve"> </w:t>
            </w:r>
            <w:proofErr w:type="spellStart"/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>Introduction</w:t>
            </w:r>
            <w:proofErr w:type="spellEnd"/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>, 2002</w:t>
            </w:r>
            <w:r>
              <w:rPr>
                <w:rFonts w:ascii="Verdana" w:eastAsia="Calibri" w:hAnsi="Verdana" w:cs="Verdana"/>
                <w:sz w:val="20"/>
                <w:szCs w:val="20"/>
              </w:rPr>
              <w:br/>
            </w:r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 xml:space="preserve">[6] W. </w:t>
            </w:r>
            <w:proofErr w:type="spellStart"/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>Hodges</w:t>
            </w:r>
            <w:proofErr w:type="spellEnd"/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 xml:space="preserve">, Model </w:t>
            </w:r>
            <w:proofErr w:type="spellStart"/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>theory</w:t>
            </w:r>
            <w:proofErr w:type="spellEnd"/>
            <w:r>
              <w:rPr>
                <w:rFonts w:ascii="Tahoma;Helvetica;Segoe UI;Segoe" w:eastAsia="Calibri" w:hAnsi="Tahoma;Helvetica;Segoe UI;Segoe" w:cs="Verdana"/>
                <w:color w:val="000000"/>
                <w:sz w:val="21"/>
                <w:szCs w:val="20"/>
              </w:rPr>
              <w:t>, 1993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0D87532" w14:textId="77777777" w:rsidR="005B1FA3" w:rsidRDefault="005B1FA3">
      <w:pPr>
        <w:rPr>
          <w:rFonts w:ascii="Verdana" w:hAnsi="Verdana" w:cs="Verdana"/>
          <w:sz w:val="20"/>
          <w:szCs w:val="20"/>
        </w:rPr>
      </w:pPr>
    </w:p>
    <w:p w14:paraId="7B14CC7D" w14:textId="77777777" w:rsidR="005B1FA3" w:rsidRDefault="005B1FA3">
      <w:pPr>
        <w:jc w:val="right"/>
        <w:rPr>
          <w:rFonts w:ascii="Verdana" w:hAnsi="Verdana" w:cs="Verdana"/>
          <w:sz w:val="20"/>
          <w:szCs w:val="20"/>
        </w:rPr>
      </w:pPr>
    </w:p>
    <w:p w14:paraId="67F5C2A1" w14:textId="77777777" w:rsidR="005B1FA3" w:rsidRDefault="008F6D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A3897FE" w14:textId="77777777" w:rsidR="005B1FA3" w:rsidRDefault="008F6D9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482BCEA1" w14:textId="77777777" w:rsidR="005B1FA3" w:rsidRDefault="008F6D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3A2CAC8" w14:textId="77777777" w:rsidR="005B1FA3" w:rsidRDefault="005B1FA3"/>
    <w:sectPr w:rsidR="005B1FA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;Helvetica;Segoe UI;Segoe">
    <w:altName w:val="Cambria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A3"/>
    <w:rsid w:val="003B2EAE"/>
    <w:rsid w:val="005B1FA3"/>
    <w:rsid w:val="008F6D91"/>
    <w:rsid w:val="00A1414D"/>
    <w:rsid w:val="00B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86EA"/>
  <w15:docId w15:val="{D75533C3-DDA2-439C-897D-0B840E28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346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346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34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dc:description/>
  <cp:lastModifiedBy>Jacek Dziubański</cp:lastModifiedBy>
  <cp:revision>5</cp:revision>
  <dcterms:created xsi:type="dcterms:W3CDTF">2022-05-11T05:42:00Z</dcterms:created>
  <dcterms:modified xsi:type="dcterms:W3CDTF">2022-05-30T07:21:00Z</dcterms:modified>
  <dc:language>pl-PL</dc:language>
</cp:coreProperties>
</file>